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03" w:rsidRDefault="00955B03" w:rsidP="00BC78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Универсальные учебные действия на уроках истории.</w:t>
      </w:r>
    </w:p>
    <w:p w:rsidR="00955B03" w:rsidRPr="00955B03" w:rsidRDefault="00955B03" w:rsidP="00955B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B03">
        <w:rPr>
          <w:rFonts w:ascii="Times New Roman" w:hAnsi="Times New Roman" w:cs="Times New Roman"/>
          <w:i/>
          <w:sz w:val="28"/>
          <w:szCs w:val="28"/>
        </w:rPr>
        <w:t>Ю. П. Кононова,</w:t>
      </w:r>
    </w:p>
    <w:p w:rsidR="00955B03" w:rsidRPr="00955B03" w:rsidRDefault="00955B03" w:rsidP="00955B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B03">
        <w:rPr>
          <w:b/>
          <w:sz w:val="32"/>
          <w:szCs w:val="32"/>
          <w:lang w:eastAsia="ru-RU"/>
        </w:rPr>
        <w:t xml:space="preserve">                        </w:t>
      </w:r>
      <w:r w:rsidRPr="00955B03">
        <w:rPr>
          <w:rFonts w:ascii="Times New Roman" w:hAnsi="Times New Roman" w:cs="Times New Roman"/>
          <w:i/>
          <w:sz w:val="28"/>
          <w:szCs w:val="28"/>
        </w:rPr>
        <w:t>учитель истории, обществознания</w:t>
      </w:r>
    </w:p>
    <w:p w:rsidR="00955B03" w:rsidRPr="00955B03" w:rsidRDefault="00955B03" w:rsidP="00955B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B03">
        <w:rPr>
          <w:rFonts w:ascii="Times New Roman" w:hAnsi="Times New Roman" w:cs="Times New Roman"/>
          <w:i/>
          <w:sz w:val="28"/>
          <w:szCs w:val="28"/>
        </w:rPr>
        <w:t xml:space="preserve">МОУ «Тондошенская ООШ» </w:t>
      </w:r>
    </w:p>
    <w:p w:rsidR="00955B03" w:rsidRPr="00955B03" w:rsidRDefault="00955B03" w:rsidP="00955B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5B03">
        <w:rPr>
          <w:rFonts w:ascii="Times New Roman" w:hAnsi="Times New Roman" w:cs="Times New Roman"/>
          <w:i/>
          <w:sz w:val="28"/>
          <w:szCs w:val="28"/>
        </w:rPr>
        <w:t>«Верх-Бийская ООШ»</w:t>
      </w:r>
    </w:p>
    <w:p w:rsidR="00955B03" w:rsidRDefault="00955B03" w:rsidP="00BC78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C785F" w:rsidRDefault="00BC785F" w:rsidP="00BC785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730987" w:rsidRPr="00BC785F">
        <w:rPr>
          <w:rFonts w:ascii="Times New Roman" w:hAnsi="Times New Roman" w:cs="Times New Roman"/>
          <w:i/>
          <w:sz w:val="28"/>
          <w:szCs w:val="28"/>
          <w:lang w:eastAsia="ru-RU"/>
        </w:rPr>
        <w:t>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</w:t>
      </w:r>
    </w:p>
    <w:p w:rsidR="00730987" w:rsidRPr="00BC785F" w:rsidRDefault="00BC785F" w:rsidP="00BC785F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</w:t>
      </w:r>
      <w:r w:rsidR="00730987" w:rsidRPr="00BC78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К.Д. Ушинский.</w:t>
      </w:r>
    </w:p>
    <w:p w:rsidR="00730987" w:rsidRPr="00BC785F" w:rsidRDefault="00955B03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730987" w:rsidRPr="00BC785F" w:rsidRDefault="00D75488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>Отличительной особенностью нового стандарта является его деятельностный характер, ставящий главной целью развитие личности учащегося.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sz w:val="28"/>
          <w:szCs w:val="28"/>
          <w:lang w:eastAsia="ru-RU"/>
        </w:rPr>
        <w:t>Развитие личности в системе образования обеспечивается прежде всего через формирование универсальных учебных действий. 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</w:t>
      </w:r>
      <w:r w:rsidR="00D75488">
        <w:rPr>
          <w:rFonts w:ascii="Times New Roman" w:hAnsi="Times New Roman" w:cs="Times New Roman"/>
          <w:sz w:val="28"/>
          <w:szCs w:val="28"/>
          <w:lang w:eastAsia="ru-RU"/>
        </w:rPr>
        <w:t xml:space="preserve"> усвоения, т.е. умение учиться.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Логика развития универсальных учебных действий строится по формуле: от действия к мысли.</w:t>
      </w:r>
    </w:p>
    <w:p w:rsidR="00730987" w:rsidRPr="00BC785F" w:rsidRDefault="00D75488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>УУД - это совокупность действий учащегося, которые обеспечивают способность к самостоятельному усвоению новых знаний и умений, включая организацию этого процесса, культурное единство и толерантность. Это способность ученика саморазвивать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и самосовершенствоваться.</w:t>
      </w:r>
    </w:p>
    <w:p w:rsidR="00730987" w:rsidRPr="00D75488" w:rsidRDefault="00D75488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30987" w:rsidRPr="00D75488">
        <w:rPr>
          <w:rFonts w:ascii="Times New Roman" w:hAnsi="Times New Roman" w:cs="Times New Roman"/>
          <w:sz w:val="28"/>
          <w:szCs w:val="28"/>
          <w:lang w:eastAsia="ru-RU"/>
        </w:rPr>
        <w:t>УУД направлены на достижение планируемых результатов. Различают три группы планируемых результатов: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универсальные учебные действия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-лежат в основе изучения самого предмета</w:t>
      </w:r>
      <w:r w:rsidR="001B4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(опыт получения, преобразования и применения предметных знаний).</w:t>
      </w:r>
    </w:p>
    <w:p w:rsidR="001B40FD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2.Метапредметные универсальные действия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-центральной составляющей является формирование умения у учащихся работать с информацией</w:t>
      </w:r>
      <w:r w:rsidR="001B4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(извлекать её, анализировать, воспринимать).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Личностные универсальные учебные действия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 xml:space="preserve">-эмоциональность и нравственность в изучении предмета, развитии толерантности, здорового </w:t>
      </w:r>
      <w:r w:rsidR="001B40FD">
        <w:rPr>
          <w:rFonts w:ascii="Times New Roman" w:hAnsi="Times New Roman" w:cs="Times New Roman"/>
          <w:sz w:val="28"/>
          <w:szCs w:val="28"/>
          <w:lang w:eastAsia="ru-RU"/>
        </w:rPr>
        <w:t xml:space="preserve">образа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жизни.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УУД можно сгруппировать в четыре основных блока: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</w:p>
    <w:tbl>
      <w:tblPr>
        <w:tblW w:w="17900" w:type="dxa"/>
        <w:tblCellSpacing w:w="0" w:type="dxa"/>
        <w:tblInd w:w="-43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57"/>
        <w:gridCol w:w="4539"/>
        <w:gridCol w:w="5056"/>
        <w:gridCol w:w="5248"/>
      </w:tblGrid>
      <w:tr w:rsidR="00D75488" w:rsidRPr="00BC785F" w:rsidTr="00D75488">
        <w:trPr>
          <w:tblCellSpacing w:w="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Личностные результаты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Умения самостоятельно делать </w:t>
            </w: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СВОЙ</w:t>
            </w: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</w:t>
            </w: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мире мыслей, чувств и </w:t>
            </w: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ЦЕННОСТЕЙ</w:t>
            </w: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отвечать за этот выбор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Регулятивные УУД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Умения </w:t>
            </w: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ОРГАНИЗОВЫВАТЬ</w:t>
            </w: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свою деятельность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Познавательные УУД</w:t>
            </w:r>
          </w:p>
          <w:p w:rsidR="00D75488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Умения результативно</w:t>
            </w:r>
          </w:p>
          <w:p w:rsidR="00D75488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МЫСЛИТЬ</w:t>
            </w: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работать</w:t>
            </w:r>
          </w:p>
          <w:p w:rsidR="00D75488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информацией в 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современном мире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Коммуникативные УУД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Умения </w:t>
            </w: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ОБЩАТЬСЯ,</w:t>
            </w: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взаимодействовать с людьми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</w:tbl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57"/>
        <w:gridCol w:w="3742"/>
      </w:tblGrid>
      <w:tr w:rsidR="00730987" w:rsidRPr="00BC785F" w:rsidTr="00730987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Личностные(нравственно-оценочные умения)-оценка своих и чужих поступков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Личностные(нравственно-оценочные умения)-оценка своих и чужих поступков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  <w:tr w:rsidR="00730987" w:rsidRPr="00BC785F" w:rsidTr="0073098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учебные действия(организация умения)-организация своих дел, решение проблем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Отражают способность обучающегося строить учебно-познавательную деятельность, учитывая все её компоненты (цель, мотив, прогноз, средства, контроль, оценка)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  <w:tr w:rsidR="00730987" w:rsidRPr="00BC785F" w:rsidTr="0073098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универсальные учебные действия (интеллектуальные умения)-обработка информации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способов познания окружающего мира, построения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  <w:tr w:rsidR="00730987" w:rsidRPr="00BC785F" w:rsidTr="0073098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универсальные действия(коммуникативные умения)-общение с людьми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Обеспечивают возможности сотрудничества: умение слышать, слушать и понимать партнера, планировать и согласованно выполнять совместную </w:t>
            </w:r>
            <w:r w:rsidRPr="00BC78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сверстниками; самостоятельная организация речевой деятельности в устной и письменной форме</w:t>
            </w:r>
          </w:p>
          <w:p w:rsidR="00730987" w:rsidRPr="00BC785F" w:rsidRDefault="00730987" w:rsidP="00BC785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C785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</w:tr>
    </w:tbl>
    <w:p w:rsidR="00D75488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lastRenderedPageBreak/>
        <w:t> </w:t>
      </w:r>
    </w:p>
    <w:p w:rsidR="00730987" w:rsidRPr="00BC785F" w:rsidRDefault="001B40FD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5488">
        <w:rPr>
          <w:rFonts w:ascii="Times New Roman" w:hAnsi="Times New Roman" w:cs="Times New Roman"/>
          <w:sz w:val="28"/>
          <w:szCs w:val="28"/>
          <w:lang w:eastAsia="ru-RU"/>
        </w:rPr>
        <w:t>Для формирования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на уроках истории</w:t>
      </w:r>
      <w:r w:rsidR="00730987"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730987" w:rsidRPr="00D75488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488">
        <w:rPr>
          <w:rFonts w:ascii="Times New Roman" w:hAnsi="Times New Roman" w:cs="Times New Roman"/>
          <w:sz w:val="28"/>
          <w:szCs w:val="28"/>
          <w:lang w:eastAsia="ru-RU"/>
        </w:rPr>
        <w:t>используются следующие виды деятельности: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Задания творческого характера:</w:t>
      </w:r>
    </w:p>
    <w:p w:rsidR="00730987" w:rsidRPr="00BC785F" w:rsidRDefault="00D75488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730987"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>тгадывание кроссворда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75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загадок по пройденным темам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Составление предложений, раскрывающих определенные понятия.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40FD">
        <w:rPr>
          <w:rFonts w:ascii="Times New Roman" w:hAnsi="Times New Roman" w:cs="Times New Roman"/>
          <w:sz w:val="28"/>
          <w:szCs w:val="28"/>
          <w:lang w:eastAsia="ru-RU"/>
        </w:rPr>
        <w:t>Составление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</w:t>
      </w:r>
      <w:r w:rsidR="001B40F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информации учебника, отры</w:t>
      </w:r>
      <w:r w:rsidR="001B40FD">
        <w:rPr>
          <w:rFonts w:ascii="Times New Roman" w:hAnsi="Times New Roman" w:cs="Times New Roman"/>
          <w:sz w:val="28"/>
          <w:szCs w:val="28"/>
          <w:lang w:eastAsia="ru-RU"/>
        </w:rPr>
        <w:t>вков из летописей, литературных источников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Извлечение информации из источника</w:t>
      </w:r>
    </w:p>
    <w:p w:rsidR="00730987" w:rsidRPr="00BC785F" w:rsidRDefault="00D75488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>Описание объекта по схеме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-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Составление характеристики исторического деятеля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«Интервью с исторической личностью»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Работа с картой («чтение карты», схемы)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Анализ исторического источника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lastRenderedPageBreak/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Чтение и обобщение фактов из литературного источника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Составление вопросов к тексту, ответы на них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Составление простого и сложного плана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сравнительных, хронологических таблиц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-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Составление кластера</w:t>
      </w:r>
    </w:p>
    <w:p w:rsidR="00730987" w:rsidRPr="00BC785F" w:rsidRDefault="00730987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D75488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-</w:t>
      </w:r>
      <w:r w:rsidRPr="00BC785F">
        <w:rPr>
          <w:rFonts w:ascii="Times New Roman" w:hAnsi="Times New Roman" w:cs="Times New Roman"/>
          <w:sz w:val="28"/>
          <w:szCs w:val="28"/>
          <w:lang w:eastAsia="ru-RU"/>
        </w:rPr>
        <w:t>Подбор фактов, подтверждающих или опровергающих гипотезу</w:t>
      </w:r>
    </w:p>
    <w:p w:rsidR="00730987" w:rsidRPr="00D75488" w:rsidRDefault="00D75488" w:rsidP="00BC785F">
      <w:pPr>
        <w:pStyle w:val="a3"/>
        <w:spacing w:line="360" w:lineRule="auto"/>
        <w:jc w:val="both"/>
        <w:rPr>
          <w:rFonts w:ascii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lang w:eastAsia="ru-RU"/>
        </w:rPr>
        <w:t xml:space="preserve">   </w:t>
      </w:r>
      <w:r w:rsidR="00730987" w:rsidRPr="00BC785F">
        <w:rPr>
          <w:rFonts w:ascii="Times New Roman" w:hAnsi="Times New Roman" w:cs="Times New Roman"/>
          <w:color w:val="363636"/>
          <w:sz w:val="28"/>
          <w:szCs w:val="28"/>
          <w:lang w:eastAsia="ru-RU"/>
        </w:rPr>
        <w:t> 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>Итогом процесса обучения на уроке Истории является формирование всесторонне развитой, толерантной личности, у</w:t>
      </w:r>
      <w:r w:rsidR="001B40FD">
        <w:rPr>
          <w:rFonts w:ascii="Times New Roman" w:hAnsi="Times New Roman" w:cs="Times New Roman"/>
          <w:sz w:val="28"/>
          <w:szCs w:val="28"/>
          <w:lang w:eastAsia="ru-RU"/>
        </w:rPr>
        <w:t>меющей анализировать происходящи</w:t>
      </w:r>
      <w:r w:rsidR="00730987" w:rsidRPr="00BC785F">
        <w:rPr>
          <w:rFonts w:ascii="Times New Roman" w:hAnsi="Times New Roman" w:cs="Times New Roman"/>
          <w:sz w:val="28"/>
          <w:szCs w:val="28"/>
          <w:lang w:eastAsia="ru-RU"/>
        </w:rPr>
        <w:t>е в современном мире социально-экономические и политические события и явления, опирающейся на опыт прошлых поколений и думающий о последствиях своей деятельности в будущей истории человечества.</w:t>
      </w:r>
    </w:p>
    <w:p w:rsidR="00955B03" w:rsidRPr="001B40FD" w:rsidRDefault="00955B03" w:rsidP="001B40FD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B40FD">
        <w:rPr>
          <w:bCs/>
          <w:i/>
          <w:color w:val="000000"/>
          <w:sz w:val="28"/>
          <w:szCs w:val="28"/>
        </w:rPr>
        <w:t>Литература:</w:t>
      </w:r>
    </w:p>
    <w:p w:rsidR="00955B03" w:rsidRPr="001B40FD" w:rsidRDefault="00955B03" w:rsidP="001B40FD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B40FD">
        <w:rPr>
          <w:i/>
          <w:color w:val="000000"/>
          <w:sz w:val="28"/>
          <w:szCs w:val="28"/>
        </w:rPr>
        <w:t>1. Федеральный государственный образовательный стандарт общего образования</w:t>
      </w:r>
    </w:p>
    <w:p w:rsidR="00955B03" w:rsidRPr="001B40FD" w:rsidRDefault="00955B03" w:rsidP="001B40FD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B40FD">
        <w:rPr>
          <w:i/>
          <w:color w:val="000000"/>
          <w:sz w:val="28"/>
          <w:szCs w:val="28"/>
        </w:rPr>
        <w:t>2. Г.К Селевко Энциклопедия образовательных технологий, М.2006</w:t>
      </w:r>
    </w:p>
    <w:p w:rsidR="00955B03" w:rsidRPr="001B40FD" w:rsidRDefault="00955B03" w:rsidP="001B40FD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B40FD">
        <w:rPr>
          <w:i/>
          <w:color w:val="000000"/>
          <w:sz w:val="28"/>
          <w:szCs w:val="28"/>
        </w:rPr>
        <w:t>3. Т.Н. Беркалиев Развитие образования: опыт реформ и оценки прогресса школы, Спб. 2007</w:t>
      </w:r>
    </w:p>
    <w:p w:rsidR="00955B03" w:rsidRPr="001B40FD" w:rsidRDefault="00955B03" w:rsidP="001B40FD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B40FD">
        <w:rPr>
          <w:i/>
          <w:color w:val="000000"/>
          <w:sz w:val="28"/>
          <w:szCs w:val="28"/>
        </w:rPr>
        <w:t>4. Психологическая теория деятельности: вчера, сегодня, завтра/ под ред. А.А.Леонтьева М.,2006.</w:t>
      </w:r>
    </w:p>
    <w:p w:rsidR="00955B03" w:rsidRPr="001B40FD" w:rsidRDefault="00955B03" w:rsidP="001B40FD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1B40FD">
        <w:rPr>
          <w:i/>
          <w:color w:val="000000"/>
          <w:sz w:val="28"/>
          <w:szCs w:val="28"/>
        </w:rPr>
        <w:t>5. Г.К.Селевко Современные образовательные технологии: Учебное пособие/Г.К. Селевко. – М.: Народное образование. 1998. – 256 с.</w:t>
      </w:r>
    </w:p>
    <w:p w:rsidR="00CD4F04" w:rsidRPr="001B40FD" w:rsidRDefault="00CD4F04" w:rsidP="001B40FD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D4F04" w:rsidRPr="001B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87"/>
    <w:rsid w:val="001B40FD"/>
    <w:rsid w:val="0063003D"/>
    <w:rsid w:val="00730987"/>
    <w:rsid w:val="00955B03"/>
    <w:rsid w:val="00BC785F"/>
    <w:rsid w:val="00CD4F04"/>
    <w:rsid w:val="00D75488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2020-08-20T08:11:00Z</dcterms:created>
  <dcterms:modified xsi:type="dcterms:W3CDTF">2020-08-20T08:11:00Z</dcterms:modified>
</cp:coreProperties>
</file>